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7A8" w:rsidRPr="002577A8" w:rsidRDefault="002577A8" w:rsidP="002577A8">
      <w:pPr>
        <w:pStyle w:val="lefthead"/>
        <w:keepNext w:val="0"/>
        <w:widowControl w:val="0"/>
        <w:spacing w:after="0"/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</w:pPr>
      <w:proofErr w:type="spellStart"/>
      <w:r w:rsidRPr="002577A8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Rutinoscorbin</w:t>
      </w:r>
      <w:proofErr w:type="spellEnd"/>
    </w:p>
    <w:p w:rsidR="002577A8" w:rsidRPr="002577A8" w:rsidRDefault="002577A8" w:rsidP="002577A8">
      <w:pPr>
        <w:pStyle w:val="lefthead"/>
        <w:keepNext w:val="0"/>
        <w:widowControl w:val="0"/>
        <w:spacing w:after="0"/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</w:pPr>
      <w:r w:rsidRPr="002577A8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 xml:space="preserve">25 mg + 100 mg, </w:t>
      </w:r>
      <w:proofErr w:type="spellStart"/>
      <w:r w:rsidRPr="002577A8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tabletki</w:t>
      </w:r>
      <w:proofErr w:type="spellEnd"/>
      <w:r w:rsidRPr="002577A8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77A8">
        <w:rPr>
          <w:rFonts w:ascii="Times New Roman" w:hAnsi="Times New Roman"/>
          <w:b w:val="0"/>
          <w:color w:val="000000" w:themeColor="text1"/>
          <w:sz w:val="24"/>
          <w:szCs w:val="24"/>
          <w:lang w:val="en-US"/>
        </w:rPr>
        <w:t>powlekane</w:t>
      </w:r>
      <w:proofErr w:type="spellEnd"/>
    </w:p>
    <w:p w:rsidR="002577A8" w:rsidRPr="002577A8" w:rsidRDefault="002577A8" w:rsidP="002577A8">
      <w:pPr>
        <w:widowControl w:val="0"/>
        <w:spacing w:after="0"/>
        <w:rPr>
          <w:color w:val="000000" w:themeColor="text1"/>
          <w:szCs w:val="24"/>
          <w:lang w:val="en-US"/>
        </w:rPr>
      </w:pPr>
    </w:p>
    <w:p w:rsidR="002577A8" w:rsidRPr="002577A8" w:rsidRDefault="002577A8" w:rsidP="002577A8">
      <w:pPr>
        <w:widowControl w:val="0"/>
        <w:spacing w:after="0"/>
        <w:rPr>
          <w:color w:val="000000" w:themeColor="text1"/>
          <w:szCs w:val="24"/>
        </w:rPr>
      </w:pPr>
      <w:r w:rsidRPr="002577A8">
        <w:rPr>
          <w:color w:val="000000" w:themeColor="text1"/>
          <w:szCs w:val="24"/>
        </w:rPr>
        <w:t xml:space="preserve">1 tabletka zawiera 25 mg </w:t>
      </w:r>
      <w:proofErr w:type="spellStart"/>
      <w:r w:rsidRPr="002577A8">
        <w:rPr>
          <w:color w:val="000000" w:themeColor="text1"/>
          <w:szCs w:val="24"/>
        </w:rPr>
        <w:t>rutozydu</w:t>
      </w:r>
      <w:proofErr w:type="spellEnd"/>
      <w:r w:rsidRPr="002577A8">
        <w:rPr>
          <w:color w:val="000000" w:themeColor="text1"/>
          <w:szCs w:val="24"/>
        </w:rPr>
        <w:t xml:space="preserve"> (</w:t>
      </w:r>
      <w:proofErr w:type="spellStart"/>
      <w:r w:rsidRPr="002577A8">
        <w:rPr>
          <w:i/>
          <w:color w:val="000000" w:themeColor="text1"/>
          <w:szCs w:val="24"/>
        </w:rPr>
        <w:t>Rutosidum</w:t>
      </w:r>
      <w:proofErr w:type="spellEnd"/>
      <w:r w:rsidRPr="002577A8">
        <w:rPr>
          <w:color w:val="000000" w:themeColor="text1"/>
          <w:szCs w:val="24"/>
        </w:rPr>
        <w:t xml:space="preserve">) - w postaci </w:t>
      </w:r>
      <w:proofErr w:type="spellStart"/>
      <w:r w:rsidRPr="002577A8">
        <w:rPr>
          <w:color w:val="000000" w:themeColor="text1"/>
          <w:szCs w:val="24"/>
        </w:rPr>
        <w:t>rutozydu</w:t>
      </w:r>
      <w:proofErr w:type="spellEnd"/>
      <w:r w:rsidRPr="002577A8">
        <w:rPr>
          <w:color w:val="000000" w:themeColor="text1"/>
          <w:szCs w:val="24"/>
        </w:rPr>
        <w:t xml:space="preserve"> trójwodnego i 100 mg </w:t>
      </w:r>
      <w:proofErr w:type="spellStart"/>
      <w:r w:rsidRPr="002577A8">
        <w:rPr>
          <w:i/>
          <w:color w:val="000000" w:themeColor="text1"/>
          <w:szCs w:val="24"/>
        </w:rPr>
        <w:t>Acidum</w:t>
      </w:r>
      <w:proofErr w:type="spellEnd"/>
      <w:r w:rsidRPr="002577A8">
        <w:rPr>
          <w:i/>
          <w:color w:val="000000" w:themeColor="text1"/>
          <w:szCs w:val="24"/>
        </w:rPr>
        <w:t xml:space="preserve"> </w:t>
      </w:r>
      <w:proofErr w:type="spellStart"/>
      <w:r w:rsidRPr="002577A8">
        <w:rPr>
          <w:i/>
          <w:color w:val="000000" w:themeColor="text1"/>
          <w:szCs w:val="24"/>
        </w:rPr>
        <w:t>ascorbicum</w:t>
      </w:r>
      <w:proofErr w:type="spellEnd"/>
      <w:r w:rsidRPr="002577A8">
        <w:rPr>
          <w:color w:val="000000" w:themeColor="text1"/>
          <w:szCs w:val="24"/>
        </w:rPr>
        <w:t xml:space="preserve"> (kwasu askorbowego). Substancje pomocnicze o znanym działaniu: laktoza jednowodna 49,45 mg, sacharoza 10 mg, żółcień </w:t>
      </w:r>
      <w:proofErr w:type="spellStart"/>
      <w:r w:rsidRPr="002577A8">
        <w:rPr>
          <w:color w:val="000000" w:themeColor="text1"/>
          <w:szCs w:val="24"/>
        </w:rPr>
        <w:t>chinolinowa</w:t>
      </w:r>
      <w:proofErr w:type="spellEnd"/>
      <w:r w:rsidRPr="002577A8">
        <w:rPr>
          <w:color w:val="000000" w:themeColor="text1"/>
          <w:szCs w:val="24"/>
        </w:rPr>
        <w:t xml:space="preserve"> 1,313 mg.</w:t>
      </w:r>
    </w:p>
    <w:p w:rsidR="002577A8" w:rsidRPr="002577A8" w:rsidRDefault="002577A8" w:rsidP="002577A8">
      <w:pPr>
        <w:pStyle w:val="GWHeading2"/>
        <w:keepNext w:val="0"/>
        <w:widowControl w:val="0"/>
        <w:numPr>
          <w:ilvl w:val="0"/>
          <w:numId w:val="0"/>
        </w:numPr>
        <w:spacing w:before="0" w:after="0"/>
        <w:ind w:left="1151" w:hanging="1151"/>
        <w:rPr>
          <w:rFonts w:ascii="Times New Roman" w:hAnsi="Times New Roman"/>
          <w:color w:val="000000" w:themeColor="text1"/>
          <w:sz w:val="24"/>
          <w:szCs w:val="24"/>
        </w:rPr>
      </w:pPr>
    </w:p>
    <w:p w:rsidR="002577A8" w:rsidRPr="002577A8" w:rsidRDefault="002577A8" w:rsidP="002577A8">
      <w:pPr>
        <w:pStyle w:val="GWHeading2"/>
        <w:keepNext w:val="0"/>
        <w:widowControl w:val="0"/>
        <w:numPr>
          <w:ilvl w:val="0"/>
          <w:numId w:val="0"/>
        </w:numPr>
        <w:spacing w:before="0" w:after="0"/>
        <w:ind w:left="1151" w:hanging="1151"/>
        <w:rPr>
          <w:rFonts w:ascii="Times New Roman" w:hAnsi="Times New Roman"/>
          <w:color w:val="000000" w:themeColor="text1"/>
          <w:sz w:val="24"/>
          <w:szCs w:val="24"/>
        </w:rPr>
      </w:pPr>
      <w:r w:rsidRPr="002577A8">
        <w:rPr>
          <w:rFonts w:ascii="Times New Roman" w:hAnsi="Times New Roman"/>
          <w:color w:val="000000" w:themeColor="text1"/>
          <w:sz w:val="24"/>
          <w:szCs w:val="24"/>
        </w:rPr>
        <w:t>Wskazania do stosowania</w:t>
      </w:r>
    </w:p>
    <w:p w:rsidR="002577A8" w:rsidRPr="002577A8" w:rsidRDefault="002577A8" w:rsidP="002577A8">
      <w:pPr>
        <w:widowControl w:val="0"/>
        <w:numPr>
          <w:ilvl w:val="0"/>
          <w:numId w:val="2"/>
        </w:numPr>
        <w:tabs>
          <w:tab w:val="clear" w:pos="720"/>
        </w:tabs>
        <w:spacing w:after="0"/>
        <w:ind w:left="567" w:hanging="567"/>
        <w:rPr>
          <w:color w:val="000000" w:themeColor="text1"/>
          <w:szCs w:val="24"/>
        </w:rPr>
      </w:pPr>
      <w:r w:rsidRPr="002577A8">
        <w:rPr>
          <w:color w:val="000000" w:themeColor="text1"/>
          <w:szCs w:val="24"/>
        </w:rPr>
        <w:t>W stanach niedoboru kwasu askorbowego.</w:t>
      </w:r>
    </w:p>
    <w:p w:rsidR="002577A8" w:rsidRPr="002577A8" w:rsidRDefault="002577A8" w:rsidP="002577A8">
      <w:pPr>
        <w:widowControl w:val="0"/>
        <w:numPr>
          <w:ilvl w:val="0"/>
          <w:numId w:val="2"/>
        </w:numPr>
        <w:tabs>
          <w:tab w:val="clear" w:pos="720"/>
        </w:tabs>
        <w:spacing w:after="0"/>
        <w:ind w:left="567" w:hanging="567"/>
        <w:rPr>
          <w:color w:val="000000" w:themeColor="text1"/>
          <w:szCs w:val="24"/>
        </w:rPr>
      </w:pPr>
      <w:r w:rsidRPr="002577A8">
        <w:rPr>
          <w:color w:val="000000" w:themeColor="text1"/>
          <w:szCs w:val="24"/>
        </w:rPr>
        <w:t>W stanach zwiększonego zapotrzebowania na kwas askorbowy (przeziębienia, zakażenia wirusowe w tym grypa).</w:t>
      </w:r>
    </w:p>
    <w:p w:rsidR="001D1756" w:rsidRDefault="002577A8" w:rsidP="001D1756">
      <w:pPr>
        <w:widowControl w:val="0"/>
        <w:numPr>
          <w:ilvl w:val="0"/>
          <w:numId w:val="2"/>
        </w:numPr>
        <w:tabs>
          <w:tab w:val="clear" w:pos="720"/>
        </w:tabs>
        <w:spacing w:after="0"/>
        <w:ind w:left="567" w:hanging="567"/>
        <w:rPr>
          <w:color w:val="000000" w:themeColor="text1"/>
          <w:szCs w:val="24"/>
        </w:rPr>
      </w:pPr>
      <w:r w:rsidRPr="002577A8">
        <w:rPr>
          <w:color w:val="000000" w:themeColor="text1"/>
          <w:szCs w:val="24"/>
        </w:rPr>
        <w:t>Pomocniczo w nadmiernej przepuszczalności naczyń.</w:t>
      </w:r>
    </w:p>
    <w:p w:rsidR="001D1756" w:rsidRPr="001D1756" w:rsidRDefault="001D1756" w:rsidP="001B43A1">
      <w:pPr>
        <w:widowControl w:val="0"/>
        <w:spacing w:after="0"/>
        <w:rPr>
          <w:color w:val="000000" w:themeColor="text1"/>
          <w:szCs w:val="24"/>
        </w:rPr>
      </w:pPr>
    </w:p>
    <w:p w:rsidR="002577A8" w:rsidRDefault="001D1756" w:rsidP="001D1756">
      <w:pPr>
        <w:pStyle w:val="lefthead"/>
        <w:keepNext w:val="0"/>
        <w:widowControl w:val="0"/>
        <w:spacing w:after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1D175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Produkt </w:t>
      </w:r>
      <w:proofErr w:type="spellStart"/>
      <w:r w:rsidRPr="001D1756">
        <w:rPr>
          <w:rFonts w:ascii="Times New Roman" w:hAnsi="Times New Roman"/>
          <w:b w:val="0"/>
          <w:color w:val="000000" w:themeColor="text1"/>
          <w:sz w:val="24"/>
          <w:szCs w:val="24"/>
        </w:rPr>
        <w:t>Rutinoscorbin</w:t>
      </w:r>
      <w:proofErr w:type="spellEnd"/>
      <w:r w:rsidRPr="001D175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jest wskazany do stosowania u osób dorosłych i</w:t>
      </w:r>
      <w:r w:rsidR="001C52D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dzieci w wieku 6 lat i starszych</w:t>
      </w:r>
      <w:r w:rsidRPr="001D1756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2577A8" w:rsidRPr="002577A8" w:rsidRDefault="002577A8" w:rsidP="001D1756">
      <w:pPr>
        <w:pStyle w:val="GWHeading2"/>
        <w:keepNext w:val="0"/>
        <w:widowControl w:val="0"/>
        <w:numPr>
          <w:ilvl w:val="0"/>
          <w:numId w:val="0"/>
        </w:numPr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 w:rsidRPr="002577A8">
        <w:rPr>
          <w:rFonts w:ascii="Times New Roman" w:hAnsi="Times New Roman"/>
          <w:color w:val="000000" w:themeColor="text1"/>
          <w:sz w:val="24"/>
          <w:szCs w:val="24"/>
        </w:rPr>
        <w:t>Dawkowanie i sposób podawania</w:t>
      </w:r>
    </w:p>
    <w:p w:rsidR="002577A8" w:rsidRPr="002577A8" w:rsidRDefault="002577A8" w:rsidP="002577A8">
      <w:pPr>
        <w:pStyle w:val="BodyText"/>
        <w:widowControl w:val="0"/>
        <w:rPr>
          <w:rFonts w:ascii="Times New Roman" w:hAnsi="Times New Roman"/>
          <w:color w:val="000000" w:themeColor="text1"/>
          <w:sz w:val="24"/>
          <w:szCs w:val="24"/>
          <w:u w:val="single"/>
          <w:lang w:val="pl-PL"/>
        </w:rPr>
      </w:pPr>
      <w:r w:rsidRPr="002577A8">
        <w:rPr>
          <w:rFonts w:ascii="Times New Roman" w:hAnsi="Times New Roman"/>
          <w:color w:val="000000" w:themeColor="text1"/>
          <w:sz w:val="24"/>
          <w:szCs w:val="24"/>
          <w:u w:val="single"/>
          <w:lang w:val="pl-PL"/>
        </w:rPr>
        <w:t>Dawkowanie</w:t>
      </w:r>
    </w:p>
    <w:p w:rsidR="002577A8" w:rsidRPr="002577A8" w:rsidRDefault="002577A8" w:rsidP="002577A8">
      <w:pPr>
        <w:pStyle w:val="BodyText"/>
        <w:widowControl w:val="0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2577A8">
        <w:rPr>
          <w:rFonts w:ascii="Times New Roman" w:hAnsi="Times New Roman"/>
          <w:color w:val="000000" w:themeColor="text1"/>
          <w:sz w:val="24"/>
          <w:szCs w:val="24"/>
          <w:lang w:val="pl-PL"/>
        </w:rPr>
        <w:t>Profilaktycznie: 1 do 2 tabletek na dobę.</w:t>
      </w:r>
    </w:p>
    <w:p w:rsidR="002577A8" w:rsidRPr="002577A8" w:rsidRDefault="002577A8" w:rsidP="002577A8">
      <w:pPr>
        <w:pStyle w:val="BodyText"/>
        <w:widowControl w:val="0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2577A8">
        <w:rPr>
          <w:rFonts w:ascii="Times New Roman" w:hAnsi="Times New Roman"/>
          <w:color w:val="000000" w:themeColor="text1"/>
          <w:sz w:val="24"/>
          <w:szCs w:val="24"/>
          <w:lang w:val="pl-PL"/>
        </w:rPr>
        <w:t>W stanach niedoboru witaminy C: 1 do 2 tabletek 2 do 4 razy na dobę.</w:t>
      </w:r>
    </w:p>
    <w:p w:rsidR="002577A8" w:rsidRPr="002577A8" w:rsidRDefault="002577A8" w:rsidP="002577A8">
      <w:pPr>
        <w:widowControl w:val="0"/>
        <w:spacing w:after="0"/>
        <w:rPr>
          <w:color w:val="000000" w:themeColor="text1"/>
          <w:szCs w:val="24"/>
          <w:u w:val="single"/>
        </w:rPr>
      </w:pPr>
      <w:r w:rsidRPr="002577A8">
        <w:rPr>
          <w:color w:val="000000" w:themeColor="text1"/>
          <w:szCs w:val="24"/>
          <w:u w:val="single"/>
        </w:rPr>
        <w:t>Sposób podawania</w:t>
      </w:r>
    </w:p>
    <w:p w:rsidR="002577A8" w:rsidRPr="002577A8" w:rsidRDefault="002577A8" w:rsidP="002577A8">
      <w:pPr>
        <w:pStyle w:val="BodyText"/>
        <w:widowControl w:val="0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2577A8">
        <w:rPr>
          <w:rFonts w:ascii="Times New Roman" w:hAnsi="Times New Roman"/>
          <w:color w:val="000000" w:themeColor="text1"/>
          <w:sz w:val="24"/>
          <w:szCs w:val="24"/>
          <w:lang w:val="pl-PL"/>
        </w:rPr>
        <w:t>Podanie doustne.</w:t>
      </w:r>
    </w:p>
    <w:p w:rsidR="002577A8" w:rsidRPr="002577A8" w:rsidRDefault="002577A8" w:rsidP="002577A8">
      <w:pPr>
        <w:widowControl w:val="0"/>
        <w:spacing w:after="0"/>
        <w:rPr>
          <w:color w:val="000000" w:themeColor="text1"/>
          <w:szCs w:val="24"/>
        </w:rPr>
      </w:pPr>
      <w:r w:rsidRPr="002577A8">
        <w:rPr>
          <w:i/>
          <w:color w:val="000000" w:themeColor="text1"/>
          <w:szCs w:val="24"/>
        </w:rPr>
        <w:t>Zaburzenia czynności nerek</w:t>
      </w:r>
    </w:p>
    <w:p w:rsidR="002577A8" w:rsidRPr="002577A8" w:rsidRDefault="002577A8" w:rsidP="002577A8">
      <w:pPr>
        <w:pStyle w:val="BodyTextIndent"/>
        <w:widowControl w:val="0"/>
        <w:spacing w:line="240" w:lineRule="auto"/>
        <w:jc w:val="left"/>
        <w:rPr>
          <w:color w:val="000000" w:themeColor="text1"/>
          <w:szCs w:val="24"/>
        </w:rPr>
      </w:pPr>
      <w:r w:rsidRPr="002577A8">
        <w:rPr>
          <w:bCs/>
          <w:color w:val="000000" w:themeColor="text1"/>
          <w:szCs w:val="24"/>
        </w:rPr>
        <w:t>U pacjentów z zaburzeniami czynności nerek należy zachować ostrożność i stosować maksymalnie 5 tabletek (co odpowiada 50</w:t>
      </w:r>
      <w:r w:rsidR="001D1756">
        <w:rPr>
          <w:bCs/>
          <w:color w:val="000000" w:themeColor="text1"/>
          <w:szCs w:val="24"/>
        </w:rPr>
        <w:t>0 mg kwasu askorbowego) na dobę.</w:t>
      </w:r>
    </w:p>
    <w:p w:rsidR="002577A8" w:rsidRPr="002577A8" w:rsidRDefault="002577A8" w:rsidP="002577A8">
      <w:pPr>
        <w:widowControl w:val="0"/>
        <w:spacing w:after="0"/>
        <w:rPr>
          <w:color w:val="000000" w:themeColor="text1"/>
          <w:szCs w:val="24"/>
        </w:rPr>
      </w:pPr>
    </w:p>
    <w:p w:rsidR="002577A8" w:rsidRPr="002577A8" w:rsidRDefault="002577A8" w:rsidP="002577A8">
      <w:pPr>
        <w:pStyle w:val="GWHeading2"/>
        <w:keepNext w:val="0"/>
        <w:widowControl w:val="0"/>
        <w:numPr>
          <w:ilvl w:val="0"/>
          <w:numId w:val="0"/>
        </w:numPr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 w:rsidRPr="002577A8">
        <w:rPr>
          <w:rFonts w:ascii="Times New Roman" w:hAnsi="Times New Roman"/>
          <w:color w:val="000000" w:themeColor="text1"/>
          <w:sz w:val="24"/>
          <w:szCs w:val="24"/>
        </w:rPr>
        <w:t>Przeciwwskazania</w:t>
      </w:r>
    </w:p>
    <w:p w:rsidR="002577A8" w:rsidRPr="002577A8" w:rsidRDefault="002577A8" w:rsidP="002577A8">
      <w:pPr>
        <w:widowControl w:val="0"/>
        <w:spacing w:after="0"/>
        <w:rPr>
          <w:b/>
          <w:color w:val="000000" w:themeColor="text1"/>
          <w:szCs w:val="24"/>
        </w:rPr>
      </w:pPr>
      <w:r w:rsidRPr="002577A8">
        <w:rPr>
          <w:color w:val="000000" w:themeColor="text1"/>
          <w:szCs w:val="24"/>
        </w:rPr>
        <w:t xml:space="preserve">Nadwrażliwość na </w:t>
      </w:r>
      <w:proofErr w:type="spellStart"/>
      <w:r w:rsidRPr="002577A8">
        <w:rPr>
          <w:color w:val="000000" w:themeColor="text1"/>
          <w:szCs w:val="24"/>
        </w:rPr>
        <w:t>rutozyd</w:t>
      </w:r>
      <w:proofErr w:type="spellEnd"/>
      <w:r w:rsidRPr="002577A8">
        <w:rPr>
          <w:color w:val="000000" w:themeColor="text1"/>
          <w:szCs w:val="24"/>
        </w:rPr>
        <w:t xml:space="preserve"> lub kwas </w:t>
      </w:r>
      <w:proofErr w:type="spellStart"/>
      <w:r w:rsidRPr="002577A8">
        <w:rPr>
          <w:color w:val="000000" w:themeColor="text1"/>
          <w:szCs w:val="24"/>
        </w:rPr>
        <w:t>askorbowey</w:t>
      </w:r>
      <w:proofErr w:type="spellEnd"/>
      <w:r w:rsidRPr="002577A8">
        <w:rPr>
          <w:color w:val="000000" w:themeColor="text1"/>
          <w:szCs w:val="24"/>
        </w:rPr>
        <w:t xml:space="preserve"> lub na którąkolwiek substancję pomocniczą.</w:t>
      </w:r>
    </w:p>
    <w:p w:rsidR="002577A8" w:rsidRPr="002577A8" w:rsidRDefault="002577A8" w:rsidP="002577A8">
      <w:pPr>
        <w:pStyle w:val="BodyText"/>
        <w:widowControl w:val="0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2577A8">
        <w:rPr>
          <w:rFonts w:ascii="Times New Roman" w:hAnsi="Times New Roman"/>
          <w:color w:val="000000" w:themeColor="text1"/>
          <w:sz w:val="24"/>
          <w:szCs w:val="24"/>
          <w:lang w:val="pl-PL"/>
        </w:rPr>
        <w:t>Kamica szczawianowa i choroby związane z nadmiernym gromadzeniem żelaza (</w:t>
      </w:r>
      <w:proofErr w:type="spellStart"/>
      <w:r w:rsidRPr="002577A8">
        <w:rPr>
          <w:rFonts w:ascii="Times New Roman" w:hAnsi="Times New Roman"/>
          <w:color w:val="000000" w:themeColor="text1"/>
          <w:sz w:val="24"/>
          <w:szCs w:val="24"/>
          <w:lang w:val="pl-PL"/>
        </w:rPr>
        <w:t>talasemia</w:t>
      </w:r>
      <w:proofErr w:type="spellEnd"/>
      <w:r w:rsidRPr="002577A8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hemochromatoza, niedokrwistość </w:t>
      </w:r>
      <w:proofErr w:type="spellStart"/>
      <w:r w:rsidRPr="002577A8">
        <w:rPr>
          <w:rFonts w:ascii="Times New Roman" w:hAnsi="Times New Roman"/>
          <w:color w:val="000000" w:themeColor="text1"/>
          <w:sz w:val="24"/>
          <w:szCs w:val="24"/>
          <w:lang w:val="pl-PL"/>
        </w:rPr>
        <w:t>syderoblastyczna</w:t>
      </w:r>
      <w:proofErr w:type="spellEnd"/>
      <w:r w:rsidRPr="002577A8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) lub inne stany predysponujące do nadmiaru żelaza w organizmie. </w:t>
      </w:r>
    </w:p>
    <w:p w:rsidR="002577A8" w:rsidRPr="002577A8" w:rsidRDefault="002577A8" w:rsidP="002577A8">
      <w:pPr>
        <w:pStyle w:val="BodyText"/>
        <w:widowControl w:val="0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577A8" w:rsidRPr="002577A8" w:rsidRDefault="002577A8" w:rsidP="002577A8">
      <w:pPr>
        <w:pStyle w:val="GWHeading2"/>
        <w:keepNext w:val="0"/>
        <w:widowControl w:val="0"/>
        <w:numPr>
          <w:ilvl w:val="0"/>
          <w:numId w:val="0"/>
        </w:numPr>
        <w:spacing w:before="0" w:after="0"/>
        <w:ind w:left="1151" w:hanging="1151"/>
        <w:rPr>
          <w:rFonts w:ascii="Times New Roman" w:hAnsi="Times New Roman"/>
          <w:color w:val="000000" w:themeColor="text1"/>
          <w:sz w:val="24"/>
          <w:szCs w:val="24"/>
        </w:rPr>
      </w:pPr>
      <w:r w:rsidRPr="002577A8">
        <w:rPr>
          <w:rFonts w:ascii="Times New Roman" w:hAnsi="Times New Roman"/>
          <w:color w:val="000000" w:themeColor="text1"/>
          <w:sz w:val="24"/>
          <w:szCs w:val="24"/>
        </w:rPr>
        <w:t>Specjalne ostrzeżenia i środki ostrożności dotyczące stosowania</w:t>
      </w:r>
    </w:p>
    <w:p w:rsidR="002577A8" w:rsidRPr="002577A8" w:rsidRDefault="002577A8" w:rsidP="002577A8">
      <w:pPr>
        <w:pStyle w:val="BodyTextIndent"/>
        <w:widowControl w:val="0"/>
        <w:spacing w:line="240" w:lineRule="auto"/>
        <w:jc w:val="left"/>
        <w:rPr>
          <w:bCs/>
          <w:color w:val="000000" w:themeColor="text1"/>
          <w:szCs w:val="24"/>
        </w:rPr>
      </w:pPr>
      <w:r w:rsidRPr="002577A8">
        <w:rPr>
          <w:color w:val="000000" w:themeColor="text1"/>
          <w:szCs w:val="24"/>
        </w:rPr>
        <w:t xml:space="preserve">Nie należy stosować dawek większych niż zalecane, ponieważ obserwowano pojedyncze przypadki ciężkiej hemolizy u pacjentów z </w:t>
      </w:r>
      <w:r w:rsidRPr="002577A8">
        <w:rPr>
          <w:bCs/>
          <w:color w:val="000000" w:themeColor="text1"/>
          <w:szCs w:val="24"/>
        </w:rPr>
        <w:t>niedoborem erytrocytowej dehydrogenazy glukozo</w:t>
      </w:r>
      <w:r w:rsidRPr="002577A8">
        <w:rPr>
          <w:color w:val="000000" w:themeColor="text1"/>
          <w:szCs w:val="24"/>
        </w:rPr>
        <w:t>-</w:t>
      </w:r>
      <w:r w:rsidRPr="002577A8">
        <w:rPr>
          <w:bCs/>
          <w:color w:val="000000" w:themeColor="text1"/>
          <w:szCs w:val="24"/>
        </w:rPr>
        <w:t>6</w:t>
      </w:r>
      <w:r w:rsidRPr="002577A8">
        <w:rPr>
          <w:color w:val="000000" w:themeColor="text1"/>
          <w:szCs w:val="24"/>
        </w:rPr>
        <w:t>-</w:t>
      </w:r>
      <w:r w:rsidRPr="002577A8">
        <w:rPr>
          <w:bCs/>
          <w:color w:val="000000" w:themeColor="text1"/>
          <w:szCs w:val="24"/>
        </w:rPr>
        <w:t xml:space="preserve">fosforanowej przyjmujących duże dawki kwasu askorbowego (&gt; 4000 mg na dobę). </w:t>
      </w:r>
    </w:p>
    <w:p w:rsidR="002577A8" w:rsidRPr="002577A8" w:rsidRDefault="002577A8" w:rsidP="002577A8">
      <w:pPr>
        <w:pStyle w:val="BodyTextIndent"/>
        <w:widowControl w:val="0"/>
        <w:spacing w:line="240" w:lineRule="auto"/>
        <w:jc w:val="left"/>
        <w:rPr>
          <w:bCs/>
          <w:color w:val="000000" w:themeColor="text1"/>
          <w:szCs w:val="24"/>
        </w:rPr>
      </w:pPr>
    </w:p>
    <w:p w:rsidR="002577A8" w:rsidRPr="002577A8" w:rsidRDefault="002577A8" w:rsidP="002577A8">
      <w:pPr>
        <w:pStyle w:val="BodyTextIndent"/>
        <w:widowControl w:val="0"/>
        <w:spacing w:line="240" w:lineRule="auto"/>
        <w:jc w:val="left"/>
        <w:rPr>
          <w:color w:val="000000" w:themeColor="text1"/>
          <w:szCs w:val="24"/>
        </w:rPr>
      </w:pPr>
      <w:r w:rsidRPr="002577A8">
        <w:rPr>
          <w:bCs/>
          <w:color w:val="000000" w:themeColor="text1"/>
          <w:szCs w:val="24"/>
        </w:rPr>
        <w:t>U pacjentów z zaburzeniami czynności nerek należy zachować ostrożność i stosować maksymalnie 5 tabletek (co odpowiada 500 mg kwasu askorbowego) na dobę.</w:t>
      </w:r>
    </w:p>
    <w:p w:rsidR="002577A8" w:rsidRPr="002577A8" w:rsidRDefault="002577A8" w:rsidP="002577A8">
      <w:pPr>
        <w:pStyle w:val="BodyTextIndent"/>
        <w:widowControl w:val="0"/>
        <w:spacing w:line="240" w:lineRule="auto"/>
        <w:jc w:val="left"/>
        <w:rPr>
          <w:color w:val="000000" w:themeColor="text1"/>
          <w:szCs w:val="24"/>
        </w:rPr>
      </w:pPr>
    </w:p>
    <w:p w:rsidR="002577A8" w:rsidRPr="002577A8" w:rsidRDefault="002577A8" w:rsidP="002577A8">
      <w:pPr>
        <w:pStyle w:val="BodyTextIndent"/>
        <w:widowControl w:val="0"/>
        <w:spacing w:line="240" w:lineRule="auto"/>
        <w:jc w:val="left"/>
        <w:rPr>
          <w:color w:val="000000" w:themeColor="text1"/>
          <w:szCs w:val="24"/>
        </w:rPr>
      </w:pPr>
      <w:r w:rsidRPr="002577A8">
        <w:rPr>
          <w:color w:val="000000" w:themeColor="text1"/>
          <w:szCs w:val="24"/>
        </w:rPr>
        <w:t>U pacjentów z nadmiernym wydalaniem kwasu szczawiowego, dną, kamicą moczanową, cystynurią, a także w stanach hipokaliemii i hiperkalcemii nie zaleca się podawania dużych dawek kwasu askorbowego (powyżej 1 g).</w:t>
      </w:r>
    </w:p>
    <w:p w:rsidR="002577A8" w:rsidRPr="002577A8" w:rsidRDefault="002577A8" w:rsidP="002577A8">
      <w:pPr>
        <w:pStyle w:val="BodyTextIndent"/>
        <w:widowControl w:val="0"/>
        <w:spacing w:line="240" w:lineRule="auto"/>
        <w:jc w:val="left"/>
        <w:rPr>
          <w:color w:val="000000" w:themeColor="text1"/>
          <w:szCs w:val="24"/>
        </w:rPr>
      </w:pPr>
    </w:p>
    <w:p w:rsidR="002577A8" w:rsidRPr="002577A8" w:rsidRDefault="002577A8" w:rsidP="002577A8">
      <w:pPr>
        <w:pStyle w:val="BodyTextIndent"/>
        <w:widowControl w:val="0"/>
        <w:spacing w:line="240" w:lineRule="auto"/>
        <w:jc w:val="left"/>
        <w:rPr>
          <w:color w:val="000000" w:themeColor="text1"/>
          <w:szCs w:val="24"/>
        </w:rPr>
      </w:pPr>
      <w:r w:rsidRPr="002577A8">
        <w:rPr>
          <w:color w:val="000000" w:themeColor="text1"/>
          <w:szCs w:val="24"/>
        </w:rPr>
        <w:t>Stosowanie witaminy C łącznie z sulfonamidami może prowadzić do wytrącania się kryształów sulfonamidów w moczu.</w:t>
      </w:r>
    </w:p>
    <w:p w:rsidR="002577A8" w:rsidRPr="002577A8" w:rsidRDefault="002577A8" w:rsidP="002577A8">
      <w:pPr>
        <w:pStyle w:val="BodyTextIndent"/>
        <w:widowControl w:val="0"/>
        <w:spacing w:line="240" w:lineRule="auto"/>
        <w:jc w:val="left"/>
        <w:rPr>
          <w:color w:val="000000" w:themeColor="text1"/>
          <w:szCs w:val="24"/>
        </w:rPr>
      </w:pPr>
    </w:p>
    <w:p w:rsidR="002577A8" w:rsidRPr="002577A8" w:rsidRDefault="002577A8" w:rsidP="002577A8">
      <w:pPr>
        <w:pStyle w:val="BodyTextIndent"/>
        <w:widowControl w:val="0"/>
        <w:spacing w:line="240" w:lineRule="auto"/>
        <w:jc w:val="left"/>
        <w:rPr>
          <w:color w:val="000000" w:themeColor="text1"/>
          <w:szCs w:val="24"/>
        </w:rPr>
      </w:pPr>
      <w:r w:rsidRPr="002577A8">
        <w:rPr>
          <w:color w:val="000000" w:themeColor="text1"/>
          <w:szCs w:val="24"/>
        </w:rPr>
        <w:t>Kwas askorbowy stosowana w dawkach terapeutycznych może być przyczyną fałszywie dodatniego wyniku testu na obecność cukru w moczu czy fałszywie ujemnego wyniku testu na obecność krwi utajonej w kale.</w:t>
      </w:r>
    </w:p>
    <w:p w:rsidR="002577A8" w:rsidRPr="002577A8" w:rsidRDefault="002577A8" w:rsidP="002577A8">
      <w:pPr>
        <w:widowControl w:val="0"/>
        <w:spacing w:after="0"/>
        <w:rPr>
          <w:noProof/>
          <w:color w:val="000000" w:themeColor="text1"/>
          <w:szCs w:val="24"/>
        </w:rPr>
      </w:pPr>
    </w:p>
    <w:p w:rsidR="002577A8" w:rsidRPr="002577A8" w:rsidRDefault="002577A8" w:rsidP="002577A8">
      <w:pPr>
        <w:widowControl w:val="0"/>
        <w:spacing w:after="0"/>
        <w:rPr>
          <w:noProof/>
          <w:color w:val="000000" w:themeColor="text1"/>
          <w:szCs w:val="24"/>
        </w:rPr>
      </w:pPr>
      <w:r w:rsidRPr="002577A8">
        <w:rPr>
          <w:noProof/>
          <w:color w:val="000000" w:themeColor="text1"/>
          <w:szCs w:val="24"/>
        </w:rPr>
        <w:t>U dzieci w wieku poniżej 6 lat decyzja o stosowaniu produktu leczniczego powinna być rozpatrzona indywidualnie.</w:t>
      </w:r>
    </w:p>
    <w:p w:rsidR="002577A8" w:rsidRPr="002577A8" w:rsidRDefault="002577A8" w:rsidP="002577A8">
      <w:pPr>
        <w:widowControl w:val="0"/>
        <w:spacing w:after="0"/>
        <w:rPr>
          <w:color w:val="000000" w:themeColor="text1"/>
          <w:szCs w:val="24"/>
        </w:rPr>
      </w:pPr>
    </w:p>
    <w:p w:rsidR="002577A8" w:rsidRPr="002577A8" w:rsidRDefault="002577A8" w:rsidP="002577A8">
      <w:pPr>
        <w:widowControl w:val="0"/>
        <w:spacing w:after="0"/>
        <w:rPr>
          <w:color w:val="000000" w:themeColor="text1"/>
          <w:szCs w:val="24"/>
        </w:rPr>
      </w:pPr>
      <w:r w:rsidRPr="002577A8">
        <w:rPr>
          <w:color w:val="000000" w:themeColor="text1"/>
          <w:szCs w:val="24"/>
        </w:rPr>
        <w:t xml:space="preserve">Produkt leczniczy nie powinien być stosowany u pacjentów z rzadko występującą dziedziczną nietolerancją galaktozy lub fruktozy, niedoborem laktazy (typu </w:t>
      </w:r>
      <w:proofErr w:type="spellStart"/>
      <w:r w:rsidRPr="002577A8">
        <w:rPr>
          <w:color w:val="000000" w:themeColor="text1"/>
          <w:szCs w:val="24"/>
        </w:rPr>
        <w:t>Lappa</w:t>
      </w:r>
      <w:proofErr w:type="spellEnd"/>
      <w:r w:rsidRPr="002577A8">
        <w:rPr>
          <w:color w:val="000000" w:themeColor="text1"/>
          <w:szCs w:val="24"/>
        </w:rPr>
        <w:t xml:space="preserve">), zespołem złego wchłaniania glukozy-galaktozy lub niedoborem </w:t>
      </w:r>
      <w:proofErr w:type="spellStart"/>
      <w:r w:rsidRPr="002577A8">
        <w:rPr>
          <w:color w:val="000000" w:themeColor="text1"/>
          <w:szCs w:val="24"/>
        </w:rPr>
        <w:t>sacharazy-izomaltazy</w:t>
      </w:r>
      <w:proofErr w:type="spellEnd"/>
      <w:r w:rsidRPr="002577A8">
        <w:rPr>
          <w:color w:val="000000" w:themeColor="text1"/>
          <w:szCs w:val="24"/>
        </w:rPr>
        <w:t>.</w:t>
      </w:r>
    </w:p>
    <w:p w:rsidR="002577A8" w:rsidRPr="002577A8" w:rsidRDefault="002577A8" w:rsidP="002577A8">
      <w:pPr>
        <w:widowControl w:val="0"/>
        <w:spacing w:after="0"/>
        <w:rPr>
          <w:color w:val="000000" w:themeColor="text1"/>
          <w:szCs w:val="24"/>
        </w:rPr>
      </w:pPr>
    </w:p>
    <w:p w:rsidR="002577A8" w:rsidRPr="002577A8" w:rsidRDefault="002577A8" w:rsidP="002577A8">
      <w:pPr>
        <w:widowControl w:val="0"/>
        <w:spacing w:after="0"/>
        <w:rPr>
          <w:color w:val="000000" w:themeColor="text1"/>
          <w:szCs w:val="24"/>
        </w:rPr>
      </w:pPr>
      <w:r w:rsidRPr="002577A8">
        <w:rPr>
          <w:color w:val="000000" w:themeColor="text1"/>
          <w:szCs w:val="24"/>
        </w:rPr>
        <w:t xml:space="preserve">Ze względu na zawartość żółcieni </w:t>
      </w:r>
      <w:proofErr w:type="spellStart"/>
      <w:r w:rsidRPr="002577A8">
        <w:rPr>
          <w:color w:val="000000" w:themeColor="text1"/>
          <w:szCs w:val="24"/>
        </w:rPr>
        <w:t>chinolinowej</w:t>
      </w:r>
      <w:proofErr w:type="spellEnd"/>
      <w:r w:rsidRPr="002577A8">
        <w:rPr>
          <w:color w:val="000000" w:themeColor="text1"/>
          <w:szCs w:val="24"/>
        </w:rPr>
        <w:t xml:space="preserve"> produkt może powodować reakcje alergiczne.</w:t>
      </w:r>
    </w:p>
    <w:p w:rsidR="002577A8" w:rsidRPr="002577A8" w:rsidRDefault="002577A8" w:rsidP="002577A8">
      <w:pPr>
        <w:widowControl w:val="0"/>
        <w:spacing w:after="0"/>
        <w:rPr>
          <w:b/>
          <w:color w:val="000000" w:themeColor="text1"/>
          <w:szCs w:val="24"/>
        </w:rPr>
      </w:pPr>
    </w:p>
    <w:p w:rsidR="002577A8" w:rsidRPr="002577A8" w:rsidRDefault="002577A8" w:rsidP="002577A8">
      <w:pPr>
        <w:widowControl w:val="0"/>
        <w:spacing w:after="0"/>
        <w:rPr>
          <w:b/>
          <w:color w:val="000000" w:themeColor="text1"/>
          <w:szCs w:val="24"/>
        </w:rPr>
      </w:pPr>
      <w:r w:rsidRPr="002577A8">
        <w:rPr>
          <w:b/>
          <w:color w:val="000000" w:themeColor="text1"/>
          <w:szCs w:val="24"/>
        </w:rPr>
        <w:t>Działania niepożądane</w:t>
      </w:r>
    </w:p>
    <w:p w:rsidR="002577A8" w:rsidRPr="002577A8" w:rsidRDefault="002577A8" w:rsidP="002577A8">
      <w:pPr>
        <w:widowControl w:val="0"/>
        <w:spacing w:after="0"/>
        <w:rPr>
          <w:color w:val="000000" w:themeColor="text1"/>
          <w:szCs w:val="24"/>
        </w:rPr>
      </w:pPr>
      <w:r w:rsidRPr="002577A8">
        <w:rPr>
          <w:color w:val="000000" w:themeColor="text1"/>
          <w:szCs w:val="24"/>
        </w:rPr>
        <w:t xml:space="preserve">Produkt </w:t>
      </w:r>
      <w:proofErr w:type="spellStart"/>
      <w:r w:rsidRPr="002577A8">
        <w:rPr>
          <w:color w:val="000000" w:themeColor="text1"/>
          <w:szCs w:val="24"/>
        </w:rPr>
        <w:t>Rutinoscorbin</w:t>
      </w:r>
      <w:proofErr w:type="spellEnd"/>
      <w:r w:rsidRPr="002577A8">
        <w:rPr>
          <w:color w:val="000000" w:themeColor="text1"/>
          <w:szCs w:val="24"/>
        </w:rPr>
        <w:t xml:space="preserve"> jest zwykle dobrze tolerowany w zalecanych dawkach.</w:t>
      </w:r>
      <w:r>
        <w:rPr>
          <w:color w:val="000000" w:themeColor="text1"/>
          <w:szCs w:val="24"/>
        </w:rPr>
        <w:t xml:space="preserve"> </w:t>
      </w:r>
      <w:r w:rsidRPr="002577A8">
        <w:rPr>
          <w:color w:val="000000" w:themeColor="text1"/>
          <w:szCs w:val="24"/>
        </w:rPr>
        <w:t xml:space="preserve">Poniżej wymienione działania niepożądane, związane zastosowania dużych dawek kwasu askorbowego (większych niż 600 mg na dobę), uporządkowano zgodnie z terminologią </w:t>
      </w:r>
      <w:proofErr w:type="spellStart"/>
      <w:r w:rsidRPr="002577A8">
        <w:rPr>
          <w:color w:val="000000" w:themeColor="text1"/>
          <w:szCs w:val="24"/>
        </w:rPr>
        <w:t>MedDRA</w:t>
      </w:r>
      <w:proofErr w:type="spellEnd"/>
      <w:r w:rsidRPr="002577A8">
        <w:rPr>
          <w:color w:val="000000" w:themeColor="text1"/>
          <w:szCs w:val="24"/>
        </w:rPr>
        <w:t xml:space="preserve"> według grup układowo-narządowych, częstości występowania i stopnia ciężkości. Przyjęto następującą konwencję klasyfikacji częstości występowania:</w:t>
      </w:r>
    </w:p>
    <w:p w:rsidR="002577A8" w:rsidRPr="002577A8" w:rsidRDefault="002577A8" w:rsidP="002577A8">
      <w:pPr>
        <w:widowControl w:val="0"/>
        <w:spacing w:after="0"/>
        <w:rPr>
          <w:color w:val="000000" w:themeColor="text1"/>
          <w:szCs w:val="24"/>
        </w:rPr>
      </w:pPr>
    </w:p>
    <w:p w:rsidR="002577A8" w:rsidRPr="002577A8" w:rsidRDefault="002577A8" w:rsidP="002577A8">
      <w:pPr>
        <w:widowControl w:val="0"/>
        <w:spacing w:after="0"/>
        <w:rPr>
          <w:color w:val="000000" w:themeColor="text1"/>
          <w:szCs w:val="24"/>
        </w:rPr>
      </w:pPr>
      <w:r w:rsidRPr="002577A8">
        <w:rPr>
          <w:color w:val="000000" w:themeColor="text1"/>
          <w:szCs w:val="24"/>
        </w:rPr>
        <w:t>Bardzo rzadko</w:t>
      </w:r>
      <w:r w:rsidRPr="002577A8">
        <w:rPr>
          <w:color w:val="000000" w:themeColor="text1"/>
          <w:szCs w:val="24"/>
        </w:rPr>
        <w:tab/>
      </w:r>
      <w:r w:rsidRPr="002577A8">
        <w:rPr>
          <w:color w:val="000000" w:themeColor="text1"/>
          <w:szCs w:val="24"/>
        </w:rPr>
        <w:tab/>
        <w:t>&lt; 1/10 000</w:t>
      </w:r>
    </w:p>
    <w:p w:rsidR="002577A8" w:rsidRPr="002577A8" w:rsidRDefault="002577A8" w:rsidP="002577A8">
      <w:pPr>
        <w:widowControl w:val="0"/>
        <w:spacing w:after="0"/>
        <w:rPr>
          <w:color w:val="000000" w:themeColor="text1"/>
          <w:szCs w:val="24"/>
        </w:rPr>
      </w:pPr>
      <w:r w:rsidRPr="002577A8">
        <w:rPr>
          <w:color w:val="000000" w:themeColor="text1"/>
          <w:szCs w:val="24"/>
        </w:rPr>
        <w:t>Częstość nieznana</w:t>
      </w:r>
      <w:r w:rsidRPr="002577A8">
        <w:rPr>
          <w:color w:val="000000" w:themeColor="text1"/>
          <w:szCs w:val="24"/>
        </w:rPr>
        <w:tab/>
        <w:t>(nie może być określona na podstawie dostępnych danych)</w:t>
      </w:r>
    </w:p>
    <w:p w:rsidR="002577A8" w:rsidRPr="002577A8" w:rsidRDefault="002577A8" w:rsidP="002577A8">
      <w:pPr>
        <w:widowControl w:val="0"/>
        <w:spacing w:after="0"/>
        <w:rPr>
          <w:color w:val="000000" w:themeColor="text1"/>
          <w:szCs w:val="24"/>
        </w:rPr>
      </w:pPr>
    </w:p>
    <w:p w:rsidR="002577A8" w:rsidRPr="002577A8" w:rsidRDefault="002577A8" w:rsidP="002577A8">
      <w:pPr>
        <w:widowControl w:val="0"/>
        <w:spacing w:after="0"/>
        <w:rPr>
          <w:i/>
          <w:color w:val="000000" w:themeColor="text1"/>
          <w:szCs w:val="24"/>
        </w:rPr>
      </w:pPr>
      <w:r w:rsidRPr="002577A8">
        <w:rPr>
          <w:i/>
          <w:color w:val="000000" w:themeColor="text1"/>
          <w:szCs w:val="24"/>
        </w:rPr>
        <w:t>Zaburzenia układu immunologicznego</w:t>
      </w:r>
    </w:p>
    <w:p w:rsidR="002577A8" w:rsidRPr="002577A8" w:rsidRDefault="002577A8" w:rsidP="002577A8">
      <w:pPr>
        <w:widowControl w:val="0"/>
        <w:spacing w:after="0"/>
        <w:ind w:left="2160" w:hanging="2160"/>
        <w:rPr>
          <w:color w:val="000000" w:themeColor="text1"/>
          <w:szCs w:val="24"/>
        </w:rPr>
      </w:pPr>
      <w:r w:rsidRPr="002577A8">
        <w:rPr>
          <w:color w:val="000000" w:themeColor="text1"/>
          <w:szCs w:val="24"/>
        </w:rPr>
        <w:t xml:space="preserve">Bardzo rzadko: </w:t>
      </w:r>
      <w:r w:rsidRPr="002577A8">
        <w:rPr>
          <w:color w:val="000000" w:themeColor="text1"/>
          <w:szCs w:val="24"/>
        </w:rPr>
        <w:tab/>
        <w:t>reakcje alergiczne, w tym reakcje nadwrażliwości (skrócenie oddechu, obrzęk twarzy, ust, języka lub gardła, wysypka skórna, świąd)</w:t>
      </w:r>
    </w:p>
    <w:p w:rsidR="002577A8" w:rsidRPr="002577A8" w:rsidRDefault="002577A8" w:rsidP="002577A8">
      <w:pPr>
        <w:widowControl w:val="0"/>
        <w:spacing w:after="0"/>
        <w:rPr>
          <w:i/>
          <w:color w:val="000000" w:themeColor="text1"/>
          <w:szCs w:val="24"/>
        </w:rPr>
      </w:pPr>
    </w:p>
    <w:p w:rsidR="002577A8" w:rsidRPr="002577A8" w:rsidRDefault="002577A8" w:rsidP="002577A8">
      <w:pPr>
        <w:widowControl w:val="0"/>
        <w:spacing w:after="0"/>
        <w:rPr>
          <w:color w:val="000000" w:themeColor="text1"/>
          <w:szCs w:val="24"/>
        </w:rPr>
      </w:pPr>
      <w:r w:rsidRPr="002577A8">
        <w:rPr>
          <w:i/>
          <w:color w:val="000000" w:themeColor="text1"/>
          <w:szCs w:val="24"/>
        </w:rPr>
        <w:t>Zaburzenia układu nerwowego</w:t>
      </w:r>
    </w:p>
    <w:p w:rsidR="002577A8" w:rsidRPr="002577A8" w:rsidRDefault="002577A8" w:rsidP="002577A8">
      <w:pPr>
        <w:widowControl w:val="0"/>
        <w:spacing w:after="0"/>
        <w:rPr>
          <w:color w:val="000000" w:themeColor="text1"/>
          <w:szCs w:val="24"/>
        </w:rPr>
      </w:pPr>
      <w:r w:rsidRPr="002577A8">
        <w:rPr>
          <w:color w:val="000000" w:themeColor="text1"/>
          <w:szCs w:val="24"/>
        </w:rPr>
        <w:t xml:space="preserve">Bardzo rzadko: </w:t>
      </w:r>
      <w:r w:rsidRPr="002577A8">
        <w:rPr>
          <w:color w:val="000000" w:themeColor="text1"/>
          <w:szCs w:val="24"/>
        </w:rPr>
        <w:tab/>
      </w:r>
      <w:r w:rsidRPr="002577A8">
        <w:rPr>
          <w:color w:val="000000" w:themeColor="text1"/>
          <w:szCs w:val="24"/>
        </w:rPr>
        <w:tab/>
        <w:t>ból głowy, zawroty głowy</w:t>
      </w:r>
    </w:p>
    <w:p w:rsidR="002577A8" w:rsidRPr="002577A8" w:rsidRDefault="002577A8" w:rsidP="002577A8">
      <w:pPr>
        <w:widowControl w:val="0"/>
        <w:spacing w:after="0"/>
        <w:rPr>
          <w:color w:val="000000" w:themeColor="text1"/>
          <w:szCs w:val="24"/>
        </w:rPr>
      </w:pPr>
    </w:p>
    <w:p w:rsidR="002577A8" w:rsidRPr="002577A8" w:rsidRDefault="002577A8" w:rsidP="002577A8">
      <w:pPr>
        <w:widowControl w:val="0"/>
        <w:spacing w:after="0"/>
        <w:rPr>
          <w:i/>
          <w:color w:val="000000" w:themeColor="text1"/>
          <w:szCs w:val="24"/>
        </w:rPr>
      </w:pPr>
      <w:r w:rsidRPr="002577A8">
        <w:rPr>
          <w:i/>
          <w:color w:val="000000" w:themeColor="text1"/>
          <w:szCs w:val="24"/>
        </w:rPr>
        <w:t>Zaburzenia żołądka i jelit</w:t>
      </w:r>
    </w:p>
    <w:p w:rsidR="002577A8" w:rsidRPr="002577A8" w:rsidRDefault="002577A8" w:rsidP="002577A8">
      <w:pPr>
        <w:widowControl w:val="0"/>
        <w:spacing w:after="0"/>
        <w:rPr>
          <w:color w:val="000000" w:themeColor="text1"/>
          <w:szCs w:val="24"/>
        </w:rPr>
      </w:pPr>
      <w:r w:rsidRPr="002577A8">
        <w:rPr>
          <w:color w:val="000000" w:themeColor="text1"/>
          <w:szCs w:val="24"/>
        </w:rPr>
        <w:t xml:space="preserve">Bardzo rzadko: </w:t>
      </w:r>
      <w:r w:rsidRPr="002577A8">
        <w:rPr>
          <w:color w:val="000000" w:themeColor="text1"/>
          <w:szCs w:val="24"/>
        </w:rPr>
        <w:tab/>
      </w:r>
      <w:r w:rsidRPr="002577A8">
        <w:rPr>
          <w:color w:val="000000" w:themeColor="text1"/>
          <w:szCs w:val="24"/>
        </w:rPr>
        <w:tab/>
        <w:t>wymioty, nudności, biegunka, niestrawność, ból brzucha.</w:t>
      </w:r>
    </w:p>
    <w:p w:rsidR="002577A8" w:rsidRPr="002577A8" w:rsidRDefault="002577A8" w:rsidP="002577A8">
      <w:pPr>
        <w:widowControl w:val="0"/>
        <w:spacing w:after="0"/>
        <w:rPr>
          <w:i/>
          <w:color w:val="000000" w:themeColor="text1"/>
          <w:szCs w:val="24"/>
        </w:rPr>
      </w:pPr>
    </w:p>
    <w:p w:rsidR="002577A8" w:rsidRPr="002577A8" w:rsidRDefault="002577A8" w:rsidP="002577A8">
      <w:pPr>
        <w:widowControl w:val="0"/>
        <w:spacing w:after="0"/>
        <w:rPr>
          <w:i/>
          <w:color w:val="000000" w:themeColor="text1"/>
          <w:szCs w:val="24"/>
        </w:rPr>
      </w:pPr>
      <w:r w:rsidRPr="002577A8">
        <w:rPr>
          <w:i/>
          <w:color w:val="000000" w:themeColor="text1"/>
          <w:szCs w:val="24"/>
        </w:rPr>
        <w:t>Zaburzenia ogólne i stany w miejscu podania</w:t>
      </w:r>
    </w:p>
    <w:p w:rsidR="002577A8" w:rsidRPr="002577A8" w:rsidRDefault="002577A8" w:rsidP="002577A8">
      <w:pPr>
        <w:widowControl w:val="0"/>
        <w:spacing w:after="0"/>
        <w:rPr>
          <w:color w:val="000000" w:themeColor="text1"/>
          <w:szCs w:val="24"/>
        </w:rPr>
      </w:pPr>
      <w:r w:rsidRPr="002577A8">
        <w:rPr>
          <w:color w:val="000000" w:themeColor="text1"/>
          <w:szCs w:val="24"/>
        </w:rPr>
        <w:t xml:space="preserve">Bardzo rzadko: </w:t>
      </w:r>
      <w:r w:rsidRPr="002577A8">
        <w:rPr>
          <w:color w:val="000000" w:themeColor="text1"/>
          <w:szCs w:val="24"/>
        </w:rPr>
        <w:tab/>
      </w:r>
      <w:r w:rsidRPr="002577A8">
        <w:rPr>
          <w:color w:val="000000" w:themeColor="text1"/>
          <w:szCs w:val="24"/>
        </w:rPr>
        <w:tab/>
        <w:t>zmęczenie</w:t>
      </w:r>
    </w:p>
    <w:p w:rsidR="002577A8" w:rsidRPr="002577A8" w:rsidRDefault="002577A8" w:rsidP="002577A8">
      <w:pPr>
        <w:widowControl w:val="0"/>
        <w:spacing w:after="0"/>
        <w:rPr>
          <w:i/>
          <w:color w:val="000000" w:themeColor="text1"/>
          <w:szCs w:val="24"/>
        </w:rPr>
      </w:pPr>
    </w:p>
    <w:p w:rsidR="002577A8" w:rsidRPr="002577A8" w:rsidRDefault="002577A8" w:rsidP="002577A8">
      <w:pPr>
        <w:widowControl w:val="0"/>
        <w:spacing w:after="0"/>
        <w:rPr>
          <w:i/>
          <w:color w:val="000000" w:themeColor="text1"/>
          <w:szCs w:val="24"/>
        </w:rPr>
      </w:pPr>
      <w:r w:rsidRPr="002577A8">
        <w:rPr>
          <w:i/>
          <w:color w:val="000000" w:themeColor="text1"/>
          <w:szCs w:val="24"/>
        </w:rPr>
        <w:t>Zaburzenia skóry i tkanki podskórnej</w:t>
      </w:r>
    </w:p>
    <w:p w:rsidR="002577A8" w:rsidRPr="002577A8" w:rsidRDefault="002577A8" w:rsidP="002577A8">
      <w:pPr>
        <w:widowControl w:val="0"/>
        <w:spacing w:after="0"/>
        <w:rPr>
          <w:color w:val="000000" w:themeColor="text1"/>
          <w:szCs w:val="24"/>
        </w:rPr>
      </w:pPr>
      <w:r w:rsidRPr="002577A8">
        <w:rPr>
          <w:color w:val="000000" w:themeColor="text1"/>
          <w:szCs w:val="24"/>
        </w:rPr>
        <w:t xml:space="preserve">Nie znana: </w:t>
      </w:r>
      <w:r w:rsidRPr="002577A8">
        <w:rPr>
          <w:color w:val="000000" w:themeColor="text1"/>
          <w:szCs w:val="24"/>
        </w:rPr>
        <w:tab/>
      </w:r>
      <w:r w:rsidRPr="002577A8">
        <w:rPr>
          <w:color w:val="000000" w:themeColor="text1"/>
          <w:szCs w:val="24"/>
        </w:rPr>
        <w:tab/>
        <w:t>zaczerwienienie skóry</w:t>
      </w:r>
    </w:p>
    <w:p w:rsidR="002577A8" w:rsidRPr="002577A8" w:rsidRDefault="002577A8" w:rsidP="002577A8">
      <w:pPr>
        <w:widowControl w:val="0"/>
        <w:spacing w:after="0"/>
        <w:rPr>
          <w:color w:val="000000" w:themeColor="text1"/>
          <w:szCs w:val="24"/>
        </w:rPr>
      </w:pPr>
    </w:p>
    <w:p w:rsidR="002577A8" w:rsidRPr="002577A8" w:rsidRDefault="002577A8" w:rsidP="002577A8">
      <w:pPr>
        <w:widowControl w:val="0"/>
        <w:spacing w:after="0"/>
        <w:rPr>
          <w:i/>
          <w:color w:val="000000" w:themeColor="text1"/>
          <w:szCs w:val="24"/>
        </w:rPr>
      </w:pPr>
      <w:r w:rsidRPr="002577A8">
        <w:rPr>
          <w:i/>
          <w:color w:val="000000" w:themeColor="text1"/>
          <w:szCs w:val="24"/>
        </w:rPr>
        <w:t>Zaburzenia nerek i dróg moczowych</w:t>
      </w:r>
    </w:p>
    <w:p w:rsidR="002577A8" w:rsidRPr="002577A8" w:rsidRDefault="002577A8" w:rsidP="002577A8">
      <w:pPr>
        <w:widowControl w:val="0"/>
        <w:spacing w:after="0"/>
        <w:rPr>
          <w:color w:val="000000" w:themeColor="text1"/>
          <w:szCs w:val="24"/>
        </w:rPr>
      </w:pPr>
      <w:r w:rsidRPr="002577A8">
        <w:rPr>
          <w:color w:val="000000" w:themeColor="text1"/>
          <w:szCs w:val="24"/>
        </w:rPr>
        <w:t xml:space="preserve">Nieznana: </w:t>
      </w:r>
      <w:r w:rsidRPr="002577A8">
        <w:rPr>
          <w:color w:val="000000" w:themeColor="text1"/>
          <w:szCs w:val="24"/>
        </w:rPr>
        <w:tab/>
      </w:r>
      <w:r w:rsidRPr="002577A8">
        <w:rPr>
          <w:color w:val="000000" w:themeColor="text1"/>
          <w:szCs w:val="24"/>
        </w:rPr>
        <w:tab/>
        <w:t>zwiększone oddawanie moczu, kamica nerkowa</w:t>
      </w:r>
    </w:p>
    <w:p w:rsidR="002577A8" w:rsidRPr="002577A8" w:rsidRDefault="002577A8" w:rsidP="002577A8">
      <w:pPr>
        <w:widowControl w:val="0"/>
        <w:spacing w:after="0"/>
        <w:rPr>
          <w:color w:val="000000" w:themeColor="text1"/>
          <w:szCs w:val="24"/>
        </w:rPr>
      </w:pPr>
      <w:r w:rsidRPr="002577A8">
        <w:rPr>
          <w:color w:val="000000" w:themeColor="text1"/>
          <w:szCs w:val="24"/>
        </w:rPr>
        <w:t>W razie zaobserwowania następujących objawów: nudności, wymiotów, biegunka, bólu głowy, zaczerwienienia skóry lub zwiększonego oddawanie moczu, należy natychmiast zaprzestać stosowania produktu leczniczego.</w:t>
      </w:r>
    </w:p>
    <w:p w:rsidR="002577A8" w:rsidRPr="002577A8" w:rsidRDefault="002577A8" w:rsidP="002577A8">
      <w:pPr>
        <w:spacing w:after="0"/>
        <w:rPr>
          <w:b/>
          <w:color w:val="000000" w:themeColor="text1"/>
          <w:szCs w:val="24"/>
          <w:u w:val="single"/>
        </w:rPr>
      </w:pPr>
    </w:p>
    <w:p w:rsidR="002577A8" w:rsidRPr="002577A8" w:rsidRDefault="002577A8" w:rsidP="002577A8">
      <w:pPr>
        <w:rPr>
          <w:color w:val="000000" w:themeColor="text1"/>
          <w:szCs w:val="24"/>
        </w:rPr>
      </w:pPr>
      <w:r w:rsidRPr="002577A8">
        <w:rPr>
          <w:color w:val="000000" w:themeColor="text1"/>
          <w:szCs w:val="24"/>
        </w:rPr>
        <w:t>OTC – Lek wydawany bez recepty</w:t>
      </w:r>
    </w:p>
    <w:p w:rsidR="002577A8" w:rsidRPr="002577A8" w:rsidRDefault="002577A8" w:rsidP="002577A8">
      <w:pPr>
        <w:spacing w:after="0"/>
        <w:rPr>
          <w:color w:val="000000" w:themeColor="text1"/>
          <w:szCs w:val="24"/>
        </w:rPr>
      </w:pPr>
      <w:r w:rsidRPr="002577A8">
        <w:rPr>
          <w:color w:val="000000" w:themeColor="text1"/>
          <w:szCs w:val="24"/>
        </w:rPr>
        <w:t>Pozwolenie Prezesa URPLWM i PB nr R/1497</w:t>
      </w:r>
    </w:p>
    <w:p w:rsidR="002577A8" w:rsidRPr="002577A8" w:rsidRDefault="002577A8" w:rsidP="002577A8">
      <w:pPr>
        <w:spacing w:after="0"/>
        <w:rPr>
          <w:color w:val="000000" w:themeColor="text1"/>
          <w:szCs w:val="24"/>
        </w:rPr>
      </w:pPr>
    </w:p>
    <w:p w:rsidR="002577A8" w:rsidRPr="002577A8" w:rsidRDefault="002577A8" w:rsidP="002577A8">
      <w:pPr>
        <w:rPr>
          <w:b/>
          <w:color w:val="000000" w:themeColor="text1"/>
          <w:szCs w:val="24"/>
        </w:rPr>
      </w:pPr>
      <w:r w:rsidRPr="002577A8">
        <w:rPr>
          <w:b/>
          <w:color w:val="000000" w:themeColor="text1"/>
          <w:szCs w:val="24"/>
        </w:rPr>
        <w:t xml:space="preserve">Podmiot odpowiedzialny: </w:t>
      </w:r>
    </w:p>
    <w:p w:rsidR="00E862FB" w:rsidRPr="00C84F2F" w:rsidRDefault="002577A8" w:rsidP="00E862FB">
      <w:pPr>
        <w:autoSpaceDE w:val="0"/>
        <w:autoSpaceDN w:val="0"/>
        <w:adjustRightInd w:val="0"/>
        <w:rPr>
          <w:color w:val="000000" w:themeColor="text1"/>
          <w:szCs w:val="24"/>
        </w:rPr>
      </w:pPr>
      <w:proofErr w:type="spellStart"/>
      <w:r w:rsidRPr="00C84F2F">
        <w:rPr>
          <w:color w:val="000000" w:themeColor="text1"/>
          <w:szCs w:val="24"/>
        </w:rPr>
        <w:t>GlaxoSmithKline</w:t>
      </w:r>
      <w:proofErr w:type="spellEnd"/>
      <w:r w:rsidRPr="00C84F2F">
        <w:rPr>
          <w:color w:val="000000" w:themeColor="text1"/>
          <w:szCs w:val="24"/>
        </w:rPr>
        <w:t xml:space="preserve"> Consumer Healthcare Sp. z o.o. </w:t>
      </w:r>
    </w:p>
    <w:p w:rsidR="002577A8" w:rsidRPr="00E862FB" w:rsidRDefault="00C84F2F" w:rsidP="00E862FB">
      <w:pPr>
        <w:autoSpaceDE w:val="0"/>
        <w:autoSpaceDN w:val="0"/>
        <w:adjustRightInd w:val="0"/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>v.</w:t>
      </w:r>
      <w:bookmarkStart w:id="0" w:name="_GoBack"/>
      <w:r>
        <w:rPr>
          <w:color w:val="000000" w:themeColor="text1"/>
          <w:szCs w:val="24"/>
          <w:lang w:val="en-US"/>
        </w:rPr>
        <w:t>VI.2018</w:t>
      </w:r>
      <w:bookmarkEnd w:id="0"/>
    </w:p>
    <w:sectPr w:rsidR="002577A8" w:rsidRPr="00E862FB" w:rsidSect="00E3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6BB4"/>
    <w:multiLevelType w:val="multilevel"/>
    <w:tmpl w:val="4FA879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263902AE"/>
    <w:multiLevelType w:val="multilevel"/>
    <w:tmpl w:val="59FCADC6"/>
    <w:lvl w:ilvl="0">
      <w:start w:val="1"/>
      <w:numFmt w:val="decimal"/>
      <w:pStyle w:val="GWHeading1"/>
      <w:lvlText w:val="%1."/>
      <w:lvlJc w:val="left"/>
      <w:pPr>
        <w:tabs>
          <w:tab w:val="num" w:pos="1152"/>
        </w:tabs>
        <w:ind w:left="1152" w:hanging="1152"/>
      </w:pPr>
    </w:lvl>
    <w:lvl w:ilvl="1">
      <w:start w:val="1"/>
      <w:numFmt w:val="decimal"/>
      <w:pStyle w:val="GWHeading2"/>
      <w:lvlText w:val="%1.%2"/>
      <w:lvlJc w:val="left"/>
      <w:pPr>
        <w:tabs>
          <w:tab w:val="num" w:pos="1151"/>
        </w:tabs>
        <w:ind w:left="1151" w:hanging="1151"/>
      </w:pPr>
    </w:lvl>
    <w:lvl w:ilvl="2">
      <w:start w:val="1"/>
      <w:numFmt w:val="decimal"/>
      <w:pStyle w:val="GWHeading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GWHeading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.%5.%6.%7.%8.%9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5A873836"/>
    <w:multiLevelType w:val="multilevel"/>
    <w:tmpl w:val="0622A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CF540E5"/>
    <w:multiLevelType w:val="multilevel"/>
    <w:tmpl w:val="C89CC180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7A8"/>
    <w:rsid w:val="001B0406"/>
    <w:rsid w:val="001B43A1"/>
    <w:rsid w:val="001C52DB"/>
    <w:rsid w:val="001D1756"/>
    <w:rsid w:val="002577A8"/>
    <w:rsid w:val="00C3308B"/>
    <w:rsid w:val="00C84F2F"/>
    <w:rsid w:val="00C87946"/>
    <w:rsid w:val="00E32BD9"/>
    <w:rsid w:val="00E8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54B1"/>
  <w15:docId w15:val="{845F04DC-6E1E-402A-9CE1-C008DB15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7A8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7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head">
    <w:name w:val="left head"/>
    <w:basedOn w:val="Normal"/>
    <w:next w:val="Normal"/>
    <w:rsid w:val="002577A8"/>
    <w:pPr>
      <w:keepNext/>
    </w:pPr>
    <w:rPr>
      <w:rFonts w:ascii="Arial" w:hAnsi="Arial"/>
      <w:b/>
      <w:sz w:val="28"/>
    </w:rPr>
  </w:style>
  <w:style w:type="paragraph" w:customStyle="1" w:styleId="GWHeading1">
    <w:name w:val="GWHeading1"/>
    <w:basedOn w:val="Heading1"/>
    <w:next w:val="Normal"/>
    <w:rsid w:val="002577A8"/>
    <w:pPr>
      <w:keepLines w:val="0"/>
      <w:numPr>
        <w:numId w:val="1"/>
      </w:numPr>
      <w:spacing w:before="120" w:after="240"/>
    </w:pPr>
    <w:rPr>
      <w:rFonts w:ascii="Arial" w:eastAsia="Times New Roman" w:hAnsi="Arial" w:cs="Times New Roman"/>
      <w:bCs w:val="0"/>
      <w:caps/>
      <w:color w:val="auto"/>
      <w:szCs w:val="20"/>
    </w:rPr>
  </w:style>
  <w:style w:type="paragraph" w:customStyle="1" w:styleId="GWHeading2">
    <w:name w:val="GWHeading2"/>
    <w:basedOn w:val="Heading2"/>
    <w:next w:val="Normal"/>
    <w:rsid w:val="002577A8"/>
    <w:pPr>
      <w:keepLines w:val="0"/>
      <w:numPr>
        <w:ilvl w:val="1"/>
        <w:numId w:val="1"/>
      </w:numPr>
      <w:spacing w:before="120" w:after="240"/>
    </w:pPr>
    <w:rPr>
      <w:rFonts w:ascii="Arial" w:eastAsia="Times New Roman" w:hAnsi="Arial" w:cs="Times New Roman"/>
      <w:bCs w:val="0"/>
      <w:color w:val="auto"/>
      <w:szCs w:val="20"/>
    </w:rPr>
  </w:style>
  <w:style w:type="paragraph" w:customStyle="1" w:styleId="GWHeading3">
    <w:name w:val="GWHeading3"/>
    <w:basedOn w:val="Heading3"/>
    <w:next w:val="Normal"/>
    <w:rsid w:val="002577A8"/>
    <w:pPr>
      <w:keepLines w:val="0"/>
      <w:numPr>
        <w:ilvl w:val="2"/>
        <w:numId w:val="1"/>
      </w:numPr>
      <w:spacing w:before="120" w:after="240"/>
    </w:pPr>
    <w:rPr>
      <w:rFonts w:ascii="Arial" w:eastAsia="Times New Roman" w:hAnsi="Arial" w:cs="Times New Roman"/>
      <w:bCs w:val="0"/>
      <w:color w:val="auto"/>
    </w:rPr>
  </w:style>
  <w:style w:type="paragraph" w:customStyle="1" w:styleId="GWHeading4">
    <w:name w:val="GWHeading4"/>
    <w:basedOn w:val="Heading4"/>
    <w:next w:val="Normal"/>
    <w:rsid w:val="002577A8"/>
    <w:pPr>
      <w:keepLines w:val="0"/>
      <w:numPr>
        <w:ilvl w:val="3"/>
        <w:numId w:val="1"/>
      </w:numPr>
      <w:spacing w:before="120" w:after="240"/>
    </w:pPr>
    <w:rPr>
      <w:rFonts w:ascii="Arial" w:eastAsia="Times New Roman" w:hAnsi="Arial" w:cs="Times New Roman"/>
      <w:bCs w:val="0"/>
      <w:i w:val="0"/>
      <w:iCs w:val="0"/>
      <w:color w:val="auto"/>
      <w:sz w:val="22"/>
    </w:rPr>
  </w:style>
  <w:style w:type="paragraph" w:styleId="BodyText">
    <w:name w:val="Body Text"/>
    <w:basedOn w:val="Normal"/>
    <w:link w:val="BodyTextChar"/>
    <w:rsid w:val="002577A8"/>
    <w:pPr>
      <w:spacing w:after="0"/>
    </w:pPr>
    <w:rPr>
      <w:rFonts w:ascii="Arial" w:hAnsi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2577A8"/>
    <w:rPr>
      <w:rFonts w:ascii="Arial" w:eastAsia="Times New Roman" w:hAnsi="Arial" w:cs="Times New Roman"/>
      <w:szCs w:val="20"/>
      <w:lang w:val="en-GB" w:eastAsia="pl-PL"/>
    </w:rPr>
  </w:style>
  <w:style w:type="paragraph" w:styleId="BodyTextIndent">
    <w:name w:val="Body Text Indent"/>
    <w:basedOn w:val="Normal"/>
    <w:link w:val="BodyTextIndentChar"/>
    <w:rsid w:val="002577A8"/>
    <w:pPr>
      <w:spacing w:after="0" w:line="360" w:lineRule="auto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2577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257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7A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7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1D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3599</Characters>
  <Application>Microsoft Office Word</Application>
  <DocSecurity>0</DocSecurity>
  <Lines>29</Lines>
  <Paragraphs>8</Paragraphs>
  <ScaleCrop>false</ScaleCrop>
  <Company>GlaxoSmithKline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emm11975</dc:creator>
  <cp:lastModifiedBy>Elzbieta Malarowska</cp:lastModifiedBy>
  <cp:revision>6</cp:revision>
  <dcterms:created xsi:type="dcterms:W3CDTF">2016-05-31T13:43:00Z</dcterms:created>
  <dcterms:modified xsi:type="dcterms:W3CDTF">2018-10-18T09:20:00Z</dcterms:modified>
</cp:coreProperties>
</file>